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EE8" w:rsidRPr="007A2753" w:rsidRDefault="008E2EE8" w:rsidP="008E2EE8">
      <w:pPr>
        <w:tabs>
          <w:tab w:val="left" w:pos="3615"/>
        </w:tabs>
        <w:rPr>
          <w:rFonts w:asciiTheme="majorEastAsia" w:eastAsiaTheme="majorEastAsia" w:hAnsiTheme="majorEastAsia"/>
          <w:b/>
          <w:sz w:val="22"/>
          <w:szCs w:val="24"/>
        </w:rPr>
      </w:pPr>
      <w:r w:rsidRPr="007A2753">
        <w:rPr>
          <w:rFonts w:asciiTheme="majorEastAsia" w:eastAsiaTheme="majorEastAsia" w:hAnsiTheme="majorEastAsia" w:hint="eastAsia"/>
          <w:b/>
          <w:sz w:val="22"/>
          <w:szCs w:val="24"/>
        </w:rPr>
        <w:t>腹水濾過濃縮再静注後の有害事象発生に関連するリスク因子の検討</w:t>
      </w:r>
    </w:p>
    <w:p w:rsidR="000772CF" w:rsidRPr="008E2EE8" w:rsidRDefault="000772CF"/>
    <w:p w:rsidR="008E2EE8" w:rsidRPr="008E2EE8" w:rsidRDefault="008E2EE8" w:rsidP="008E2EE8">
      <w:pPr>
        <w:spacing w:line="360" w:lineRule="auto"/>
        <w:rPr>
          <w:rFonts w:ascii="ＭＳ ゴシック" w:eastAsia="ＭＳ ゴシック" w:hAnsi="ＭＳ ゴシック"/>
        </w:rPr>
      </w:pPr>
      <w:r w:rsidRPr="008E2EE8">
        <w:rPr>
          <w:rFonts w:ascii="ＭＳ ゴシック" w:eastAsia="ＭＳ ゴシック" w:hAnsi="ＭＳ ゴシック"/>
          <w:sz w:val="22"/>
          <w:szCs w:val="24"/>
        </w:rPr>
        <w:t>腹水濾過濃縮再静注法</w:t>
      </w:r>
      <w:r w:rsidRPr="008E2EE8">
        <w:rPr>
          <w:rFonts w:ascii="ＭＳ ゴシック" w:eastAsia="ＭＳ ゴシック" w:hAnsi="ＭＳ ゴシック" w:hint="eastAsia"/>
          <w:sz w:val="22"/>
          <w:szCs w:val="24"/>
        </w:rPr>
        <w:t>(</w:t>
      </w:r>
      <w:r w:rsidRPr="008E2EE8">
        <w:rPr>
          <w:rFonts w:ascii="ＭＳ ゴシック" w:eastAsia="ＭＳ ゴシック" w:hAnsi="ＭＳ ゴシック"/>
          <w:sz w:val="22"/>
          <w:szCs w:val="24"/>
        </w:rPr>
        <w:t>CART</w:t>
      </w:r>
      <w:r w:rsidRPr="008E2EE8">
        <w:rPr>
          <w:rFonts w:ascii="ＭＳ ゴシック" w:eastAsia="ＭＳ ゴシック" w:hAnsi="ＭＳ ゴシック" w:hint="eastAsia"/>
          <w:sz w:val="22"/>
          <w:szCs w:val="24"/>
        </w:rPr>
        <w:t>)</w:t>
      </w:r>
      <w:r w:rsidRPr="008E2EE8">
        <w:rPr>
          <w:rFonts w:ascii="ＭＳ ゴシック" w:eastAsia="ＭＳ ゴシック" w:hAnsi="ＭＳ ゴシック"/>
        </w:rPr>
        <w:t>は</w:t>
      </w:r>
      <w:r w:rsidRPr="008E2EE8">
        <w:rPr>
          <w:rFonts w:ascii="ＭＳ ゴシック" w:eastAsia="ＭＳ ゴシック" w:hAnsi="ＭＳ ゴシック" w:hint="eastAsia"/>
        </w:rPr>
        <w:t>難治性腹水に対する</w:t>
      </w:r>
      <w:r w:rsidRPr="008E2EE8">
        <w:rPr>
          <w:rFonts w:ascii="ＭＳ ゴシック" w:eastAsia="ＭＳ ゴシック" w:hAnsi="ＭＳ ゴシック"/>
        </w:rPr>
        <w:t>安全な治療として確立しているが，まれに腹水排液後の</w:t>
      </w:r>
      <w:r w:rsidRPr="008E2EE8">
        <w:rPr>
          <w:rFonts w:ascii="ＭＳ ゴシック" w:eastAsia="ＭＳ ゴシック" w:hAnsi="ＭＳ ゴシック" w:hint="eastAsia"/>
        </w:rPr>
        <w:t>循環不全</w:t>
      </w:r>
      <w:r w:rsidRPr="008E2EE8">
        <w:rPr>
          <w:rFonts w:ascii="ＭＳ ゴシック" w:eastAsia="ＭＳ ゴシック" w:hAnsi="ＭＳ ゴシック"/>
        </w:rPr>
        <w:t>に起因した有害事象を経験する．そのリスク因子解析を行った．</w:t>
      </w:r>
      <w:bookmarkStart w:id="0" w:name="_GoBack"/>
      <w:bookmarkEnd w:id="0"/>
      <w:r w:rsidRPr="008E2EE8">
        <w:rPr>
          <w:rFonts w:ascii="ＭＳ ゴシック" w:eastAsia="ＭＳ ゴシック" w:hAnsi="ＭＳ ゴシック"/>
        </w:rPr>
        <w:t>肝性腹水に対する</w:t>
      </w:r>
      <w:r w:rsidRPr="008E2EE8">
        <w:rPr>
          <w:rFonts w:ascii="ＭＳ ゴシック" w:eastAsia="ＭＳ ゴシック" w:hAnsi="ＭＳ ゴシック"/>
          <w:sz w:val="22"/>
          <w:szCs w:val="24"/>
        </w:rPr>
        <w:t>CART</w:t>
      </w:r>
      <w:r w:rsidRPr="008E2EE8">
        <w:rPr>
          <w:rFonts w:ascii="ＭＳ ゴシック" w:eastAsia="ＭＳ ゴシック" w:hAnsi="ＭＳ ゴシック"/>
        </w:rPr>
        <w:t xml:space="preserve"> 21例</w:t>
      </w:r>
      <w:r w:rsidRPr="008E2EE8">
        <w:rPr>
          <w:rFonts w:ascii="ＭＳ ゴシック" w:eastAsia="ＭＳ ゴシック" w:hAnsi="ＭＳ ゴシック" w:hint="eastAsia"/>
        </w:rPr>
        <w:t>(</w:t>
      </w:r>
      <w:r w:rsidRPr="008E2EE8">
        <w:rPr>
          <w:rFonts w:ascii="ＭＳ ゴシック" w:eastAsia="ＭＳ ゴシック" w:hAnsi="ＭＳ ゴシック"/>
        </w:rPr>
        <w:t>のべ</w:t>
      </w:r>
      <w:r w:rsidRPr="008E2EE8">
        <w:rPr>
          <w:rFonts w:ascii="ＭＳ ゴシック" w:eastAsia="ＭＳ ゴシック" w:hAnsi="ＭＳ ゴシック" w:hint="eastAsia"/>
        </w:rPr>
        <w:t>6</w:t>
      </w:r>
      <w:r w:rsidRPr="008E2EE8">
        <w:rPr>
          <w:rFonts w:ascii="ＭＳ ゴシック" w:eastAsia="ＭＳ ゴシック" w:hAnsi="ＭＳ ゴシック"/>
        </w:rPr>
        <w:t>2回</w:t>
      </w:r>
      <w:r w:rsidRPr="008E2EE8">
        <w:rPr>
          <w:rFonts w:ascii="ＭＳ ゴシック" w:eastAsia="ＭＳ ゴシック" w:hAnsi="ＭＳ ゴシック" w:hint="eastAsia"/>
        </w:rPr>
        <w:t>)</w:t>
      </w:r>
      <w:r w:rsidRPr="008E2EE8">
        <w:rPr>
          <w:rFonts w:ascii="ＭＳ ゴシック" w:eastAsia="ＭＳ ゴシック" w:hAnsi="ＭＳ ゴシック"/>
        </w:rPr>
        <w:t>を対象とし，有害事象群5例</w:t>
      </w:r>
      <w:r w:rsidRPr="008E2EE8">
        <w:rPr>
          <w:rFonts w:ascii="ＭＳ ゴシック" w:eastAsia="ＭＳ ゴシック" w:hAnsi="ＭＳ ゴシック" w:hint="eastAsia"/>
        </w:rPr>
        <w:t>(</w:t>
      </w:r>
      <w:r w:rsidRPr="008E2EE8">
        <w:rPr>
          <w:rFonts w:ascii="ＭＳ ゴシック" w:eastAsia="ＭＳ ゴシック" w:hAnsi="ＭＳ ゴシック"/>
        </w:rPr>
        <w:t>急性腎障害2，肝性脳症2，肺梗塞1</w:t>
      </w:r>
      <w:r w:rsidRPr="008E2EE8">
        <w:rPr>
          <w:rFonts w:ascii="ＭＳ ゴシック" w:eastAsia="ＭＳ ゴシック" w:hAnsi="ＭＳ ゴシック" w:hint="eastAsia"/>
        </w:rPr>
        <w:t>)</w:t>
      </w:r>
      <w:r w:rsidRPr="008E2EE8">
        <w:rPr>
          <w:rFonts w:ascii="ＭＳ ゴシック" w:eastAsia="ＭＳ ゴシック" w:hAnsi="ＭＳ ゴシック"/>
        </w:rPr>
        <w:t>と無事故群16例に分け，</w:t>
      </w:r>
      <w:r w:rsidRPr="008E2EE8">
        <w:rPr>
          <w:rFonts w:ascii="ＭＳ ゴシック" w:eastAsia="ＭＳ ゴシック" w:hAnsi="ＭＳ ゴシック" w:hint="eastAsia"/>
          <w:sz w:val="22"/>
          <w:szCs w:val="24"/>
        </w:rPr>
        <w:t>2群間で患者背景や治療状況，検査値など各因子の比較を行った．単変量解析でBUN</w:t>
      </w:r>
      <w:r w:rsidRPr="008E2EE8">
        <w:rPr>
          <w:rFonts w:ascii="ＭＳ ゴシック" w:eastAsia="ＭＳ ゴシック" w:hAnsi="ＭＳ ゴシック" w:hint="eastAsia"/>
        </w:rPr>
        <w:t>(</w:t>
      </w:r>
      <w:r w:rsidRPr="008E2EE8">
        <w:rPr>
          <w:rFonts w:ascii="ＭＳ ゴシック" w:eastAsia="ＭＳ ゴシック" w:hAnsi="ＭＳ ゴシック"/>
        </w:rPr>
        <w:t>p=0.014</w:t>
      </w:r>
      <w:r w:rsidRPr="008E2EE8">
        <w:rPr>
          <w:rFonts w:ascii="ＭＳ ゴシック" w:eastAsia="ＭＳ ゴシック" w:hAnsi="ＭＳ ゴシック" w:hint="eastAsia"/>
        </w:rPr>
        <w:t>)</w:t>
      </w:r>
      <w:r w:rsidRPr="008E2EE8">
        <w:rPr>
          <w:rFonts w:ascii="ＭＳ ゴシック" w:eastAsia="ＭＳ ゴシック" w:hAnsi="ＭＳ ゴシック"/>
        </w:rPr>
        <w:t>，eGFR</w:t>
      </w:r>
      <w:r w:rsidRPr="008E2EE8">
        <w:rPr>
          <w:rFonts w:ascii="ＭＳ ゴシック" w:eastAsia="ＭＳ ゴシック" w:hAnsi="ＭＳ ゴシック" w:hint="eastAsia"/>
        </w:rPr>
        <w:t>(</w:t>
      </w:r>
      <w:r w:rsidRPr="008E2EE8">
        <w:rPr>
          <w:rFonts w:ascii="ＭＳ ゴシック" w:eastAsia="ＭＳ ゴシック" w:hAnsi="ＭＳ ゴシック"/>
        </w:rPr>
        <w:t>p=0.031</w:t>
      </w:r>
      <w:r w:rsidRPr="008E2EE8">
        <w:rPr>
          <w:rFonts w:ascii="ＭＳ ゴシック" w:eastAsia="ＭＳ ゴシック" w:hAnsi="ＭＳ ゴシック" w:hint="eastAsia"/>
        </w:rPr>
        <w:t>)</w:t>
      </w:r>
      <w:r w:rsidRPr="008E2EE8">
        <w:rPr>
          <w:rFonts w:ascii="ＭＳ ゴシック" w:eastAsia="ＭＳ ゴシック" w:hAnsi="ＭＳ ゴシック"/>
        </w:rPr>
        <w:t>，腹水排液速度</w:t>
      </w:r>
      <w:r w:rsidRPr="008E2EE8">
        <w:rPr>
          <w:rFonts w:ascii="ＭＳ ゴシック" w:eastAsia="ＭＳ ゴシック" w:hAnsi="ＭＳ ゴシック" w:hint="eastAsia"/>
        </w:rPr>
        <w:t>(</w:t>
      </w:r>
      <w:r w:rsidRPr="008E2EE8">
        <w:rPr>
          <w:rFonts w:ascii="ＭＳ ゴシック" w:eastAsia="ＭＳ ゴシック" w:hAnsi="ＭＳ ゴシック"/>
        </w:rPr>
        <w:t>p=0.026</w:t>
      </w:r>
      <w:r w:rsidRPr="008E2EE8">
        <w:rPr>
          <w:rFonts w:ascii="ＭＳ ゴシック" w:eastAsia="ＭＳ ゴシック" w:hAnsi="ＭＳ ゴシック" w:hint="eastAsia"/>
        </w:rPr>
        <w:t>)</w:t>
      </w:r>
      <w:r w:rsidRPr="008E2EE8">
        <w:rPr>
          <w:rFonts w:ascii="ＭＳ ゴシック" w:eastAsia="ＭＳ ゴシック" w:hAnsi="ＭＳ ゴシック"/>
        </w:rPr>
        <w:t>に有意差を認め，多変量解析では</w:t>
      </w:r>
      <w:r w:rsidRPr="008E2EE8">
        <w:rPr>
          <w:rFonts w:ascii="ＭＳ ゴシック" w:eastAsia="ＭＳ ゴシック" w:hAnsi="ＭＳ ゴシック" w:hint="eastAsia"/>
          <w:sz w:val="22"/>
        </w:rPr>
        <w:t>有害事象発生に最も関与する独立危険因子は</w:t>
      </w:r>
      <w:r w:rsidRPr="008E2EE8">
        <w:rPr>
          <w:rFonts w:ascii="ＭＳ ゴシック" w:eastAsia="ＭＳ ゴシック" w:hAnsi="ＭＳ ゴシック"/>
        </w:rPr>
        <w:t>BUNであった</w:t>
      </w:r>
      <w:r w:rsidRPr="008E2EE8">
        <w:rPr>
          <w:rFonts w:ascii="ＭＳ ゴシック" w:eastAsia="ＭＳ ゴシック" w:hAnsi="ＭＳ ゴシック" w:hint="eastAsia"/>
        </w:rPr>
        <w:t>(</w:t>
      </w:r>
      <w:r w:rsidRPr="008E2EE8">
        <w:rPr>
          <w:rFonts w:ascii="ＭＳ ゴシック" w:eastAsia="ＭＳ ゴシック" w:hAnsi="ＭＳ ゴシック"/>
        </w:rPr>
        <w:t>95%CI=1.01-1.21，p=0.03</w:t>
      </w:r>
      <w:r w:rsidRPr="008E2EE8">
        <w:rPr>
          <w:rFonts w:ascii="ＭＳ ゴシック" w:eastAsia="ＭＳ ゴシック" w:hAnsi="ＭＳ ゴシック" w:hint="eastAsia"/>
        </w:rPr>
        <w:t>)</w:t>
      </w:r>
      <w:r w:rsidRPr="008E2EE8">
        <w:rPr>
          <w:rFonts w:ascii="ＭＳ ゴシック" w:eastAsia="ＭＳ ゴシック" w:hAnsi="ＭＳ ゴシック"/>
        </w:rPr>
        <w:t>．BUNとeGFRにはスペアマン順位相関係数で有意な相関</w:t>
      </w:r>
      <w:r w:rsidRPr="008E2EE8">
        <w:rPr>
          <w:rFonts w:ascii="ＭＳ ゴシック" w:eastAsia="ＭＳ ゴシック" w:hAnsi="ＭＳ ゴシック" w:hint="eastAsia"/>
        </w:rPr>
        <w:t>(</w:t>
      </w:r>
      <w:r w:rsidRPr="008E2EE8">
        <w:rPr>
          <w:rFonts w:ascii="ＭＳ ゴシック" w:eastAsia="ＭＳ ゴシック" w:hAnsi="ＭＳ ゴシック"/>
        </w:rPr>
        <w:t>p=0.008</w:t>
      </w:r>
      <w:r w:rsidRPr="008E2EE8">
        <w:rPr>
          <w:rFonts w:ascii="ＭＳ ゴシック" w:eastAsia="ＭＳ ゴシック" w:hAnsi="ＭＳ ゴシック" w:hint="eastAsia"/>
        </w:rPr>
        <w:t>)</w:t>
      </w:r>
      <w:r w:rsidRPr="008E2EE8">
        <w:rPr>
          <w:rFonts w:ascii="ＭＳ ゴシック" w:eastAsia="ＭＳ ゴシック" w:hAnsi="ＭＳ ゴシック"/>
        </w:rPr>
        <w:t>があり，有害事象群5例中4例はBUN 30以上，eGFR 30未満の範囲に含まれ，これをリスク予測因子とするのが妥当と考えられた．該当する例では事前の輸液やアルブミン投与など循環不全の予防に努めるべきである．</w:t>
      </w:r>
    </w:p>
    <w:p w:rsidR="008E2EE8" w:rsidRPr="008E2EE8" w:rsidRDefault="008E2EE8" w:rsidP="008E2EE8"/>
    <w:sectPr w:rsidR="008E2EE8" w:rsidRPr="008E2E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EE8" w:rsidRDefault="008E2EE8" w:rsidP="008E2EE8">
      <w:r>
        <w:separator/>
      </w:r>
    </w:p>
  </w:endnote>
  <w:endnote w:type="continuationSeparator" w:id="0">
    <w:p w:rsidR="008E2EE8" w:rsidRDefault="008E2EE8" w:rsidP="008E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EE8" w:rsidRDefault="008E2EE8" w:rsidP="008E2EE8">
      <w:r>
        <w:separator/>
      </w:r>
    </w:p>
  </w:footnote>
  <w:footnote w:type="continuationSeparator" w:id="0">
    <w:p w:rsidR="008E2EE8" w:rsidRDefault="008E2EE8" w:rsidP="008E2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F8"/>
    <w:rsid w:val="000772CF"/>
    <w:rsid w:val="006C3BF8"/>
    <w:rsid w:val="008E2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6B2ED"/>
  <w15:chartTrackingRefBased/>
  <w15:docId w15:val="{EA06EA1B-0C5F-4FE9-9114-430327DE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E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EE8"/>
    <w:pPr>
      <w:tabs>
        <w:tab w:val="center" w:pos="4252"/>
        <w:tab w:val="right" w:pos="8504"/>
      </w:tabs>
      <w:snapToGrid w:val="0"/>
    </w:pPr>
  </w:style>
  <w:style w:type="character" w:customStyle="1" w:styleId="a4">
    <w:name w:val="ヘッダー (文字)"/>
    <w:basedOn w:val="a0"/>
    <w:link w:val="a3"/>
    <w:uiPriority w:val="99"/>
    <w:rsid w:val="008E2EE8"/>
  </w:style>
  <w:style w:type="paragraph" w:styleId="a5">
    <w:name w:val="footer"/>
    <w:basedOn w:val="a"/>
    <w:link w:val="a6"/>
    <w:uiPriority w:val="99"/>
    <w:unhideWhenUsed/>
    <w:rsid w:val="008E2EE8"/>
    <w:pPr>
      <w:tabs>
        <w:tab w:val="center" w:pos="4252"/>
        <w:tab w:val="right" w:pos="8504"/>
      </w:tabs>
      <w:snapToGrid w:val="0"/>
    </w:pPr>
  </w:style>
  <w:style w:type="character" w:customStyle="1" w:styleId="a6">
    <w:name w:val="フッター (文字)"/>
    <w:basedOn w:val="a0"/>
    <w:link w:val="a5"/>
    <w:uiPriority w:val="99"/>
    <w:rsid w:val="008E2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電子カルテ端末 共通ユーザー</dc:creator>
  <cp:keywords/>
  <dc:description/>
  <cp:lastModifiedBy>電子カルテ端末 共通ユーザー</cp:lastModifiedBy>
  <cp:revision>2</cp:revision>
  <dcterms:created xsi:type="dcterms:W3CDTF">2021-06-18T11:09:00Z</dcterms:created>
  <dcterms:modified xsi:type="dcterms:W3CDTF">2021-06-18T11:12:00Z</dcterms:modified>
</cp:coreProperties>
</file>